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-190435</wp:posOffset>
            </wp:positionH>
            <wp:positionV relativeFrom="paragraph">
              <wp:posOffset>114300</wp:posOffset>
            </wp:positionV>
            <wp:extent cx="2353762" cy="651488"/>
            <wp:effectExtent b="0" l="0" r="0" t="0"/>
            <wp:wrapSquare wrapText="bothSides" distB="114300" distT="114300" distL="114300" distR="114300"/>
            <wp:docPr id="6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3762" cy="651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COMUNICATO STAMPA / 18 marzo 2022</w:t>
      </w:r>
    </w:p>
    <w:p w:rsidR="00000000" w:rsidDel="00000000" w:rsidP="00000000" w:rsidRDefault="00000000" w:rsidRPr="00000000" w14:paraId="0000000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Amministratori di condominio, Dello Iacono nuovo presidente regionale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TRENTO.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Si è tenuto venerdì 11 marzo il Consiglio Regionale di ANACI Trentino Alto Adige per l’elezione del nuovo Consiglio Direttivo Regionale. Con grande soddisfazione, è stato eletto all’unanimità Presidente del Consiglio Regionale il trentino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Francesco Dello Iacono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affiancato dal Vice Presidente Regionale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Antonio Bovenzi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Per la carica di segretario Regionale è stata eletta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Laura Lombardozzi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mentre il nuovo Tesoriere Regionale sarà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Stefano Lapiana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Il neo-Presidente sarà affiancato dalla squadra dei Consiglieri Regionali: di diritto in quanto presidenti,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Francesco Dello Iacono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Marco Lombardozzi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Gilberto Magnani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; di nomina: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Stefano Lapiana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Elvira Terragnolo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Paolo Saveriano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Lorenzo Saretto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Manuela Moro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Tanja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Coleselli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Sono stati eletti anche i Consiglieri nazionali,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Paolo Saveriano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Manuela Moro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nonché i Delegati al congresso nazionale,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Elvira Terragnolo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Fabio Ianes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Walter Moro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Roberto Scibona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In seguito, si sono esplicate le procedure di voto per l’elezione del Collegio dei Revisori dei Conti Regionali,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Andrea Felicetti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Tanja Coleselli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; ed il Collegio dei Probiviri regionali, con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Barbara Ciola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Attilio Martini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2267.716535433071" w:top="708.6614173228347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rPr>
        <w:b w:val="1"/>
        <w:color w:val="666666"/>
        <w:sz w:val="18"/>
        <w:szCs w:val="18"/>
      </w:rPr>
    </w:pPr>
    <w:r w:rsidDel="00000000" w:rsidR="00000000" w:rsidRPr="00000000">
      <w:rPr>
        <w:b w:val="1"/>
        <w:color w:val="666666"/>
        <w:sz w:val="18"/>
        <w:szCs w:val="18"/>
        <w:rtl w:val="0"/>
      </w:rPr>
      <w:t xml:space="preserve">Informazioni</w:t>
    </w:r>
  </w:p>
  <w:p w:rsidR="00000000" w:rsidDel="00000000" w:rsidP="00000000" w:rsidRDefault="00000000" w:rsidRPr="00000000" w14:paraId="00000011">
    <w:pPr>
      <w:rPr>
        <w:i w:val="1"/>
        <w:color w:val="666666"/>
        <w:sz w:val="18"/>
        <w:szCs w:val="18"/>
      </w:rPr>
    </w:pPr>
    <w:r w:rsidDel="00000000" w:rsidR="00000000" w:rsidRPr="00000000">
      <w:rPr>
        <w:i w:val="1"/>
        <w:color w:val="666666"/>
        <w:sz w:val="18"/>
        <w:szCs w:val="18"/>
        <w:rtl w:val="0"/>
      </w:rPr>
      <w:t xml:space="preserve">Ufficio Stampa e Comunicazione Confcommercio Trentino</w:t>
    </w:r>
  </w:p>
  <w:p w:rsidR="00000000" w:rsidDel="00000000" w:rsidP="00000000" w:rsidRDefault="00000000" w:rsidRPr="00000000" w14:paraId="00000012">
    <w:pPr>
      <w:spacing w:line="360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0461/8803</w:t>
    </w:r>
    <w:r w:rsidDel="00000000" w:rsidR="00000000" w:rsidRPr="00000000">
      <w:rPr>
        <w:sz w:val="18"/>
        <w:szCs w:val="18"/>
        <w:rtl w:val="0"/>
      </w:rPr>
      <w:t xml:space="preserve">10</w:t>
    </w:r>
    <w:r w:rsidDel="00000000" w:rsidR="00000000" w:rsidRPr="00000000">
      <w:rPr>
        <w:color w:val="666666"/>
        <w:sz w:val="18"/>
        <w:szCs w:val="18"/>
        <w:rtl w:val="0"/>
      </w:rPr>
      <w:t xml:space="preserve"> | </w:t>
    </w:r>
    <w:r w:rsidDel="00000000" w:rsidR="00000000" w:rsidRPr="00000000">
      <w:rPr>
        <w:sz w:val="18"/>
        <w:szCs w:val="18"/>
        <w:rtl w:val="0"/>
      </w:rPr>
      <w:t xml:space="preserve">comunicazione@unione.tn.it | </w:t>
    </w:r>
    <w:r w:rsidDel="00000000" w:rsidR="00000000" w:rsidRPr="00000000">
      <w:rPr>
        <w:color w:val="666666"/>
        <w:sz w:val="18"/>
        <w:szCs w:val="18"/>
        <w:rtl w:val="0"/>
      </w:rPr>
      <w:t xml:space="preserve">www.unione.tn.it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66666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434343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b w:val="1"/>
      <w:color w:val="434343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jhfYPn5vdMJ48dV+Hv+w3V1LA==">AMUW2mVciGhvhYEQlxslm0gwCQlmFmjNNtrbVbKZyrcl+VS0aG/ZJR779U3tOw2zzAVqD/bcKa4PmwQV3/Bz8q/2LEH8dxlQNC9OVbmIrPch8TuwrJXpSCc=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